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Venue proposal example</w:t>
      </w:r>
    </w:p>
    <w:p>
      <w:r>
        <w:t>Fictional Cedar Room corporate planning day. This completed sample shows an 80-person proposal, a request for 95 people and an alternative within the customer’s budget. All rates, availability and policies are illustrative; this is not an offer from a real venue.</w:t>
      </w:r>
    </w:p>
    <w:p>
      <w:pPr>
        <w:pStyle w:val="Heading1"/>
      </w:pPr>
      <w:r>
        <w:t>Original proposal</w:t>
      </w:r>
    </w:p>
    <w:p>
      <w:r>
        <w:t>Sample venue: Cedar Room  |  Customer: Example Company</w:t>
        <w:br/>
        <w:t>Reference EXAMPLE-01  |  Version 1  |  Issue date September 20, 2026</w:t>
        <w:br/>
        <w:t>Valid until September 27, 2026  |  Event date November 12, 2026</w:t>
        <w:br/>
        <w:t>80 guests  |  Guest access 09:00–17:00  |  Organizer setup 08:00–09:00</w:t>
      </w:r>
    </w:p>
    <w:p>
      <w:r>
        <w:t>A corporate planning day with meeting room, lunch, refreshments, basic AV and two staff shifts. Overnight lodging, alcohol, transport and overtime are excluded. The date and room remain subject to availability when the offer is accepted.</w:t>
      </w:r>
    </w:p>
    <w:tbl>
      <w:tblPr>
        <w:tblW w:type="auto" w:w="0"/>
        <w:jc w:val="center"/>
        <w:tblLayout w:type="fixed"/>
        <w:tblLook w:firstColumn="1" w:firstRow="1" w:lastColumn="0" w:lastRow="0" w:noHBand="0" w:noVBand="1" w:val="04A0"/>
        <w:tblBorders>
          <w:top w:val="single" w:sz="4" w:color="CBD3C7"/>
          <w:left w:val="single" w:sz="4" w:color="CBD3C7"/>
          <w:bottom w:val="single" w:sz="4" w:color="CBD3C7"/>
          <w:right w:val="single" w:sz="4" w:color="CBD3C7"/>
          <w:insideH w:val="single" w:sz="4" w:color="CBD3C7"/>
          <w:insideV w:val="single" w:sz="4" w:color="CBD3C7"/>
        </w:tblBorders>
      </w:tblPr>
      <w:tblGrid>
        <w:gridCol w:w="3888"/>
        <w:gridCol w:w="4104"/>
        <w:gridCol w:w="2232"/>
      </w:tblGrid>
      <w:tr>
        <w:trPr>
          <w:tblHeader/>
          <w:cantSplit/>
        </w:trPr>
        <w:tc>
          <w:tcPr>
            <w:tcW w:type="dxa" w:w="3888"/>
            <w:shd w:fill="E8EDE5"/>
            <w:vAlign w:val="center"/>
          </w:tcPr>
          <w:p>
            <w:pPr>
              <w:spacing w:before="80" w:after="80"/>
            </w:pPr>
            <w:r>
              <w:rPr>
                <w:b/>
                <w:sz w:val="20"/>
              </w:rPr>
              <w:t>Item</w:t>
            </w:r>
          </w:p>
        </w:tc>
        <w:tc>
          <w:tcPr>
            <w:tcW w:type="dxa" w:w="4104"/>
            <w:shd w:fill="E8EDE5"/>
            <w:vAlign w:val="center"/>
          </w:tcPr>
          <w:p>
            <w:pPr>
              <w:spacing w:before="80" w:after="80"/>
            </w:pPr>
            <w:r>
              <w:rPr>
                <w:b/>
                <w:sz w:val="20"/>
              </w:rPr>
              <w:t>Quantity and rate</w:t>
            </w:r>
          </w:p>
        </w:tc>
        <w:tc>
          <w:tcPr>
            <w:tcW w:type="dxa" w:w="2232"/>
            <w:shd w:fill="E8EDE5"/>
            <w:vAlign w:val="center"/>
          </w:tcPr>
          <w:p>
            <w:pPr>
              <w:spacing w:before="80" w:after="80"/>
              <w:jc w:val="right"/>
            </w:pPr>
            <w:r>
              <w:rPr>
                <w:b/>
                <w:sz w:val="20"/>
              </w:rPr>
              <w:t>CAD amount</w:t>
            </w:r>
          </w:p>
        </w:tc>
      </w:tr>
      <w:tr>
        <w:trPr>
          <w:cantSplit/>
        </w:trPr>
        <w:tc>
          <w:tcPr>
            <w:tcW w:type="dxa" w:w="3888"/>
            <w:vAlign w:val="center"/>
          </w:tcPr>
          <w:p>
            <w:pPr>
              <w:spacing w:before="80" w:after="80"/>
            </w:pPr>
            <w:r>
              <w:rPr>
                <w:sz w:val="20"/>
              </w:rPr>
              <w:t>Meeting room</w:t>
            </w:r>
          </w:p>
        </w:tc>
        <w:tc>
          <w:tcPr>
            <w:tcW w:type="dxa" w:w="4104"/>
            <w:vAlign w:val="center"/>
          </w:tcPr>
          <w:p>
            <w:pPr>
              <w:spacing w:before="80" w:after="80"/>
            </w:pPr>
            <w:r>
              <w:rPr>
                <w:sz w:val="20"/>
              </w:rPr>
              <w:t>1 day × $2,200</w:t>
            </w:r>
          </w:p>
        </w:tc>
        <w:tc>
          <w:tcPr>
            <w:tcW w:type="dxa" w:w="2232"/>
            <w:vAlign w:val="center"/>
          </w:tcPr>
          <w:p>
            <w:pPr>
              <w:spacing w:before="80" w:after="80"/>
              <w:jc w:val="right"/>
            </w:pPr>
            <w:r>
              <w:rPr>
                <w:sz w:val="20"/>
              </w:rPr>
              <w:t>2,200.00</w:t>
            </w:r>
          </w:p>
        </w:tc>
      </w:tr>
      <w:tr>
        <w:trPr>
          <w:cantSplit/>
        </w:trPr>
        <w:tc>
          <w:tcPr>
            <w:tcW w:type="dxa" w:w="3888"/>
            <w:vAlign w:val="center"/>
          </w:tcPr>
          <w:p>
            <w:pPr>
              <w:spacing w:before="80" w:after="80"/>
            </w:pPr>
            <w:r>
              <w:rPr>
                <w:sz w:val="20"/>
              </w:rPr>
              <w:t>Lunch</w:t>
            </w:r>
          </w:p>
        </w:tc>
        <w:tc>
          <w:tcPr>
            <w:tcW w:type="dxa" w:w="4104"/>
            <w:vAlign w:val="center"/>
          </w:tcPr>
          <w:p>
            <w:pPr>
              <w:spacing w:before="80" w:after="80"/>
            </w:pPr>
            <w:r>
              <w:rPr>
                <w:sz w:val="20"/>
              </w:rPr>
              <w:t>80 × $38</w:t>
            </w:r>
          </w:p>
        </w:tc>
        <w:tc>
          <w:tcPr>
            <w:tcW w:type="dxa" w:w="2232"/>
            <w:vAlign w:val="center"/>
          </w:tcPr>
          <w:p>
            <w:pPr>
              <w:spacing w:before="80" w:after="80"/>
              <w:jc w:val="right"/>
            </w:pPr>
            <w:r>
              <w:rPr>
                <w:sz w:val="20"/>
              </w:rPr>
              <w:t>3,040.00</w:t>
            </w:r>
          </w:p>
        </w:tc>
      </w:tr>
      <w:tr>
        <w:trPr>
          <w:cantSplit/>
        </w:trPr>
        <w:tc>
          <w:tcPr>
            <w:tcW w:type="dxa" w:w="3888"/>
            <w:vAlign w:val="center"/>
          </w:tcPr>
          <w:p>
            <w:pPr>
              <w:spacing w:before="80" w:after="80"/>
            </w:pPr>
            <w:r>
              <w:rPr>
                <w:sz w:val="20"/>
              </w:rPr>
              <w:t>Refreshments</w:t>
            </w:r>
          </w:p>
        </w:tc>
        <w:tc>
          <w:tcPr>
            <w:tcW w:type="dxa" w:w="4104"/>
            <w:vAlign w:val="center"/>
          </w:tcPr>
          <w:p>
            <w:pPr>
              <w:spacing w:before="80" w:after="80"/>
            </w:pPr>
            <w:r>
              <w:rPr>
                <w:sz w:val="20"/>
              </w:rPr>
              <w:t>80 × $12</w:t>
            </w:r>
          </w:p>
        </w:tc>
        <w:tc>
          <w:tcPr>
            <w:tcW w:type="dxa" w:w="2232"/>
            <w:vAlign w:val="center"/>
          </w:tcPr>
          <w:p>
            <w:pPr>
              <w:spacing w:before="80" w:after="80"/>
              <w:jc w:val="right"/>
            </w:pPr>
            <w:r>
              <w:rPr>
                <w:sz w:val="20"/>
              </w:rPr>
              <w:t>960.00</w:t>
            </w:r>
          </w:p>
        </w:tc>
      </w:tr>
      <w:tr>
        <w:trPr>
          <w:cantSplit/>
        </w:trPr>
        <w:tc>
          <w:tcPr>
            <w:tcW w:type="dxa" w:w="3888"/>
            <w:vAlign w:val="center"/>
          </w:tcPr>
          <w:p>
            <w:pPr>
              <w:spacing w:before="80" w:after="80"/>
            </w:pPr>
            <w:r>
              <w:rPr>
                <w:sz w:val="20"/>
              </w:rPr>
              <w:t>AV package</w:t>
            </w:r>
          </w:p>
        </w:tc>
        <w:tc>
          <w:tcPr>
            <w:tcW w:type="dxa" w:w="4104"/>
            <w:vAlign w:val="center"/>
          </w:tcPr>
          <w:p>
            <w:pPr>
              <w:spacing w:before="80" w:after="80"/>
            </w:pPr>
            <w:r>
              <w:rPr>
                <w:sz w:val="20"/>
              </w:rPr>
              <w:t>1 × $350</w:t>
            </w:r>
          </w:p>
        </w:tc>
        <w:tc>
          <w:tcPr>
            <w:tcW w:type="dxa" w:w="2232"/>
            <w:vAlign w:val="center"/>
          </w:tcPr>
          <w:p>
            <w:pPr>
              <w:spacing w:before="80" w:after="80"/>
              <w:jc w:val="right"/>
            </w:pPr>
            <w:r>
              <w:rPr>
                <w:sz w:val="20"/>
              </w:rPr>
              <w:t>350.00</w:t>
            </w:r>
          </w:p>
        </w:tc>
      </w:tr>
      <w:tr>
        <w:trPr>
          <w:cantSplit/>
        </w:trPr>
        <w:tc>
          <w:tcPr>
            <w:tcW w:type="dxa" w:w="3888"/>
            <w:vAlign w:val="center"/>
          </w:tcPr>
          <w:p>
            <w:pPr>
              <w:spacing w:before="80" w:after="80"/>
            </w:pPr>
            <w:r>
              <w:rPr>
                <w:sz w:val="20"/>
              </w:rPr>
              <w:t>Event staff</w:t>
            </w:r>
          </w:p>
        </w:tc>
        <w:tc>
          <w:tcPr>
            <w:tcW w:type="dxa" w:w="4104"/>
            <w:vAlign w:val="center"/>
          </w:tcPr>
          <w:p>
            <w:pPr>
              <w:spacing w:before="80" w:after="80"/>
            </w:pPr>
            <w:r>
              <w:rPr>
                <w:sz w:val="20"/>
              </w:rPr>
              <w:t>2 shifts × $180</w:t>
            </w:r>
          </w:p>
        </w:tc>
        <w:tc>
          <w:tcPr>
            <w:tcW w:type="dxa" w:w="2232"/>
            <w:vAlign w:val="center"/>
          </w:tcPr>
          <w:p>
            <w:pPr>
              <w:spacing w:before="80" w:after="80"/>
              <w:jc w:val="right"/>
            </w:pPr>
            <w:r>
              <w:rPr>
                <w:sz w:val="20"/>
              </w:rPr>
              <w:t>360.00</w:t>
            </w:r>
          </w:p>
        </w:tc>
      </w:tr>
      <w:tr>
        <w:trPr>
          <w:cantSplit/>
        </w:trPr>
        <w:tc>
          <w:tcPr>
            <w:tcW w:type="dxa" w:w="3888"/>
            <w:vAlign w:val="center"/>
          </w:tcPr>
          <w:p>
            <w:pPr>
              <w:spacing w:before="80" w:after="80"/>
            </w:pPr>
            <w:r>
              <w:rPr>
                <w:sz w:val="20"/>
              </w:rPr>
              <w:t>Subtotal</w:t>
            </w:r>
          </w:p>
        </w:tc>
        <w:tc>
          <w:tcPr>
            <w:tcW w:type="dxa" w:w="4104"/>
            <w:vAlign w:val="center"/>
          </w:tcPr>
          <w:p>
            <w:pPr>
              <w:spacing w:before="80" w:after="80"/>
            </w:pPr>
            <w:r>
              <w:rPr>
                <w:sz w:val="20"/>
              </w:rPr>
            </w:r>
          </w:p>
        </w:tc>
        <w:tc>
          <w:tcPr>
            <w:tcW w:type="dxa" w:w="2232"/>
            <w:vAlign w:val="center"/>
          </w:tcPr>
          <w:p>
            <w:pPr>
              <w:spacing w:before="80" w:after="80"/>
              <w:jc w:val="right"/>
            </w:pPr>
            <w:r>
              <w:rPr>
                <w:sz w:val="20"/>
              </w:rPr>
              <w:t>6,910.00</w:t>
            </w:r>
          </w:p>
        </w:tc>
      </w:tr>
      <w:tr>
        <w:trPr>
          <w:cantSplit/>
        </w:trPr>
        <w:tc>
          <w:tcPr>
            <w:tcW w:type="dxa" w:w="3888"/>
            <w:vAlign w:val="center"/>
          </w:tcPr>
          <w:p>
            <w:pPr>
              <w:spacing w:before="80" w:after="80"/>
            </w:pPr>
            <w:r>
              <w:rPr>
                <w:sz w:val="20"/>
              </w:rPr>
              <w:t>Service fee</w:t>
            </w:r>
          </w:p>
        </w:tc>
        <w:tc>
          <w:tcPr>
            <w:tcW w:type="dxa" w:w="4104"/>
            <w:vAlign w:val="center"/>
          </w:tcPr>
          <w:p>
            <w:pPr>
              <w:spacing w:before="80" w:after="80"/>
            </w:pPr>
            <w:r>
              <w:rPr>
                <w:sz w:val="20"/>
              </w:rPr>
              <w:t>18% of lunch + refreshments</w:t>
            </w:r>
          </w:p>
        </w:tc>
        <w:tc>
          <w:tcPr>
            <w:tcW w:type="dxa" w:w="2232"/>
            <w:vAlign w:val="center"/>
          </w:tcPr>
          <w:p>
            <w:pPr>
              <w:spacing w:before="80" w:after="80"/>
              <w:jc w:val="right"/>
            </w:pPr>
            <w:r>
              <w:rPr>
                <w:sz w:val="20"/>
              </w:rPr>
              <w:t>720.00</w:t>
            </w:r>
          </w:p>
        </w:tc>
      </w:tr>
      <w:tr>
        <w:trPr>
          <w:cantSplit/>
        </w:trPr>
        <w:tc>
          <w:tcPr>
            <w:tcW w:type="dxa" w:w="3888"/>
            <w:vAlign w:val="center"/>
          </w:tcPr>
          <w:p>
            <w:pPr>
              <w:spacing w:before="80" w:after="80"/>
            </w:pPr>
            <w:r>
              <w:rPr>
                <w:sz w:val="20"/>
              </w:rPr>
              <w:t>Illustrative tax</w:t>
            </w:r>
          </w:p>
        </w:tc>
        <w:tc>
          <w:tcPr>
            <w:tcW w:type="dxa" w:w="4104"/>
            <w:vAlign w:val="center"/>
          </w:tcPr>
          <w:p>
            <w:pPr>
              <w:spacing w:before="80" w:after="80"/>
            </w:pPr>
            <w:r>
              <w:rPr>
                <w:sz w:val="20"/>
              </w:rPr>
              <w:t>5% of subtotal + service fee</w:t>
            </w:r>
          </w:p>
        </w:tc>
        <w:tc>
          <w:tcPr>
            <w:tcW w:type="dxa" w:w="2232"/>
            <w:vAlign w:val="center"/>
          </w:tcPr>
          <w:p>
            <w:pPr>
              <w:spacing w:before="80" w:after="80"/>
              <w:jc w:val="right"/>
            </w:pPr>
            <w:r>
              <w:rPr>
                <w:sz w:val="20"/>
              </w:rPr>
              <w:t>381.50</w:t>
            </w:r>
          </w:p>
        </w:tc>
      </w:tr>
      <w:tr>
        <w:trPr>
          <w:cantSplit/>
        </w:trPr>
        <w:tc>
          <w:tcPr>
            <w:tcW w:type="dxa" w:w="3888"/>
            <w:vAlign w:val="center"/>
          </w:tcPr>
          <w:p>
            <w:pPr>
              <w:spacing w:before="80" w:after="80"/>
            </w:pPr>
            <w:r>
              <w:rPr>
                <w:sz w:val="20"/>
              </w:rPr>
              <w:t>Total</w:t>
            </w:r>
          </w:p>
        </w:tc>
        <w:tc>
          <w:tcPr>
            <w:tcW w:type="dxa" w:w="4104"/>
            <w:vAlign w:val="center"/>
          </w:tcPr>
          <w:p>
            <w:pPr>
              <w:spacing w:before="80" w:after="80"/>
            </w:pPr>
            <w:r>
              <w:rPr>
                <w:sz w:val="20"/>
              </w:rPr>
            </w:r>
          </w:p>
        </w:tc>
        <w:tc>
          <w:tcPr>
            <w:tcW w:type="dxa" w:w="2232"/>
            <w:vAlign w:val="center"/>
          </w:tcPr>
          <w:p>
            <w:pPr>
              <w:spacing w:before="80" w:after="80"/>
              <w:jc w:val="right"/>
            </w:pPr>
            <w:r>
              <w:rPr>
                <w:sz w:val="20"/>
              </w:rPr>
              <w:t>8,011.50</w:t>
            </w:r>
          </w:p>
        </w:tc>
      </w:tr>
      <w:tr>
        <w:trPr>
          <w:cantSplit/>
        </w:trPr>
        <w:tc>
          <w:tcPr>
            <w:tcW w:type="dxa" w:w="3888"/>
            <w:vAlign w:val="center"/>
          </w:tcPr>
          <w:p>
            <w:pPr>
              <w:spacing w:before="80" w:after="80"/>
            </w:pPr>
            <w:r>
              <w:rPr>
                <w:sz w:val="20"/>
              </w:rPr>
              <w:t>Deposit</w:t>
            </w:r>
          </w:p>
        </w:tc>
        <w:tc>
          <w:tcPr>
            <w:tcW w:type="dxa" w:w="4104"/>
            <w:vAlign w:val="center"/>
          </w:tcPr>
          <w:p>
            <w:pPr>
              <w:spacing w:before="80" w:after="80"/>
            </w:pPr>
            <w:r>
              <w:rPr>
                <w:sz w:val="20"/>
              </w:rPr>
              <w:t>30% of total</w:t>
            </w:r>
          </w:p>
        </w:tc>
        <w:tc>
          <w:tcPr>
            <w:tcW w:type="dxa" w:w="2232"/>
            <w:vAlign w:val="center"/>
          </w:tcPr>
          <w:p>
            <w:pPr>
              <w:spacing w:before="80" w:after="80"/>
              <w:jc w:val="right"/>
            </w:pPr>
            <w:r>
              <w:rPr>
                <w:sz w:val="20"/>
              </w:rPr>
              <w:t>2,403.45</w:t>
            </w:r>
          </w:p>
        </w:tc>
      </w:tr>
      <w:tr>
        <w:trPr>
          <w:cantSplit/>
        </w:trPr>
        <w:tc>
          <w:tcPr>
            <w:tcW w:type="dxa" w:w="3888"/>
            <w:vAlign w:val="center"/>
          </w:tcPr>
          <w:p>
            <w:pPr>
              <w:spacing w:before="80" w:after="80"/>
            </w:pPr>
            <w:r>
              <w:rPr>
                <w:sz w:val="20"/>
              </w:rPr>
              <w:t>Remaining balance</w:t>
            </w:r>
          </w:p>
        </w:tc>
        <w:tc>
          <w:tcPr>
            <w:tcW w:type="dxa" w:w="4104"/>
            <w:vAlign w:val="center"/>
          </w:tcPr>
          <w:p>
            <w:pPr>
              <w:spacing w:before="80" w:after="80"/>
            </w:pPr>
            <w:r>
              <w:rPr>
                <w:sz w:val="20"/>
              </w:rPr>
              <w:t>Total less deposit</w:t>
            </w:r>
          </w:p>
        </w:tc>
        <w:tc>
          <w:tcPr>
            <w:tcW w:type="dxa" w:w="2232"/>
            <w:vAlign w:val="center"/>
          </w:tcPr>
          <w:p>
            <w:pPr>
              <w:spacing w:before="80" w:after="80"/>
              <w:jc w:val="right"/>
            </w:pPr>
            <w:r>
              <w:rPr>
                <w:sz w:val="20"/>
              </w:rPr>
              <w:t>5,608.05</w:t>
            </w:r>
          </w:p>
        </w:tc>
      </w:tr>
    </w:tbl>
    <w:p>
      <w:pPr>
        <w:pStyle w:val="Heading1"/>
      </w:pPr>
      <w:r>
        <w:t>Sample terms</w:t>
      </w:r>
    </w:p>
    <w:p>
      <w:r>
        <w:t>A signed agreement and the 30% deposit are required to confirm. Final headcount is due ten days before the event, and the remaining balance seven days before. Cancellation and rescheduling terms must be supplied in the venue’s agreement. No payment has been made in this illustration. Actual fee and tax treatment must be checked for the venue and transaction.</w:t>
      </w:r>
    </w:p>
    <w:p>
      <w:r>
        <w:br w:type="page"/>
      </w:r>
    </w:p>
    <w:p>
      <w:pPr>
        <w:pStyle w:val="Heading1"/>
      </w:pPr>
      <w:r>
        <w:t>Customer request for a revision</w:t>
      </w:r>
    </w:p>
    <w:p>
      <w:r>
        <w:t>“We now have 95 people. Please keep the same lunch and AV. Can we stay under $9,000?”</w:t>
      </w:r>
    </w:p>
    <w:p>
      <w:r>
        <w:t>Version 2 is a draft pending customer choice and capacity confirmation. Under the sample rule, more than 90 guests requires a third staff shift. Room and AV prices are unchanged. The 18% service fee applies only to lunch and refreshments; the 5% illustrative tax applies to all lines and that fee.</w:t>
      </w:r>
    </w:p>
    <w:tbl>
      <w:tblPr>
        <w:tblW w:type="auto" w:w="0"/>
        <w:jc w:val="center"/>
        <w:tblLayout w:type="fixed"/>
        <w:tblLook w:firstColumn="1" w:firstRow="1" w:lastColumn="0" w:lastRow="0" w:noHBand="0" w:noVBand="1" w:val="04A0"/>
        <w:tblBorders>
          <w:top w:val="single" w:sz="4" w:color="CBD3C7"/>
          <w:left w:val="single" w:sz="4" w:color="CBD3C7"/>
          <w:bottom w:val="single" w:sz="4" w:color="CBD3C7"/>
          <w:right w:val="single" w:sz="4" w:color="CBD3C7"/>
          <w:insideH w:val="single" w:sz="4" w:color="CBD3C7"/>
          <w:insideV w:val="single" w:sz="4" w:color="CBD3C7"/>
        </w:tblBorders>
      </w:tblPr>
      <w:tblGrid>
        <w:gridCol w:w="3888"/>
        <w:gridCol w:w="4104"/>
        <w:gridCol w:w="2232"/>
      </w:tblGrid>
      <w:tr>
        <w:trPr>
          <w:tblHeader/>
          <w:cantSplit/>
        </w:trPr>
        <w:tc>
          <w:tcPr>
            <w:tcW w:type="dxa" w:w="3888"/>
            <w:shd w:fill="E8EDE5"/>
            <w:vAlign w:val="center"/>
          </w:tcPr>
          <w:p>
            <w:pPr>
              <w:spacing w:before="80" w:after="80"/>
            </w:pPr>
            <w:r>
              <w:rPr>
                <w:b/>
                <w:sz w:val="20"/>
              </w:rPr>
              <w:t>Item</w:t>
            </w:r>
          </w:p>
        </w:tc>
        <w:tc>
          <w:tcPr>
            <w:tcW w:type="dxa" w:w="4104"/>
            <w:shd w:fill="E8EDE5"/>
            <w:vAlign w:val="center"/>
          </w:tcPr>
          <w:p>
            <w:pPr>
              <w:spacing w:before="80" w:after="80"/>
            </w:pPr>
            <w:r>
              <w:rPr>
                <w:b/>
                <w:sz w:val="20"/>
              </w:rPr>
              <w:t>Revised quantity and rate</w:t>
            </w:r>
          </w:p>
        </w:tc>
        <w:tc>
          <w:tcPr>
            <w:tcW w:type="dxa" w:w="2232"/>
            <w:shd w:fill="E8EDE5"/>
            <w:vAlign w:val="center"/>
          </w:tcPr>
          <w:p>
            <w:pPr>
              <w:spacing w:before="80" w:after="80"/>
              <w:jc w:val="right"/>
            </w:pPr>
            <w:r>
              <w:rPr>
                <w:b/>
                <w:sz w:val="20"/>
              </w:rPr>
              <w:t>CAD amount</w:t>
            </w:r>
          </w:p>
        </w:tc>
      </w:tr>
      <w:tr>
        <w:trPr>
          <w:cantSplit/>
        </w:trPr>
        <w:tc>
          <w:tcPr>
            <w:tcW w:type="dxa" w:w="3888"/>
            <w:vAlign w:val="center"/>
          </w:tcPr>
          <w:p>
            <w:pPr>
              <w:spacing w:before="80" w:after="80"/>
            </w:pPr>
            <w:r>
              <w:rPr>
                <w:sz w:val="20"/>
              </w:rPr>
              <w:t>Meeting room</w:t>
            </w:r>
          </w:p>
        </w:tc>
        <w:tc>
          <w:tcPr>
            <w:tcW w:type="dxa" w:w="4104"/>
            <w:vAlign w:val="center"/>
          </w:tcPr>
          <w:p>
            <w:pPr>
              <w:spacing w:before="80" w:after="80"/>
            </w:pPr>
            <w:r>
              <w:rPr>
                <w:sz w:val="20"/>
              </w:rPr>
              <w:t>1 day × $2,200</w:t>
            </w:r>
          </w:p>
        </w:tc>
        <w:tc>
          <w:tcPr>
            <w:tcW w:type="dxa" w:w="2232"/>
            <w:vAlign w:val="center"/>
          </w:tcPr>
          <w:p>
            <w:pPr>
              <w:spacing w:before="80" w:after="80"/>
              <w:jc w:val="right"/>
            </w:pPr>
            <w:r>
              <w:rPr>
                <w:sz w:val="20"/>
              </w:rPr>
              <w:t>2,200.00</w:t>
            </w:r>
          </w:p>
        </w:tc>
      </w:tr>
      <w:tr>
        <w:trPr>
          <w:cantSplit/>
        </w:trPr>
        <w:tc>
          <w:tcPr>
            <w:tcW w:type="dxa" w:w="3888"/>
            <w:vAlign w:val="center"/>
          </w:tcPr>
          <w:p>
            <w:pPr>
              <w:spacing w:before="80" w:after="80"/>
            </w:pPr>
            <w:r>
              <w:rPr>
                <w:sz w:val="20"/>
              </w:rPr>
              <w:t>Lunch</w:t>
            </w:r>
          </w:p>
        </w:tc>
        <w:tc>
          <w:tcPr>
            <w:tcW w:type="dxa" w:w="4104"/>
            <w:vAlign w:val="center"/>
          </w:tcPr>
          <w:p>
            <w:pPr>
              <w:spacing w:before="80" w:after="80"/>
            </w:pPr>
            <w:r>
              <w:rPr>
                <w:sz w:val="20"/>
              </w:rPr>
              <w:t>95 × $38</w:t>
            </w:r>
          </w:p>
        </w:tc>
        <w:tc>
          <w:tcPr>
            <w:tcW w:type="dxa" w:w="2232"/>
            <w:vAlign w:val="center"/>
          </w:tcPr>
          <w:p>
            <w:pPr>
              <w:spacing w:before="80" w:after="80"/>
              <w:jc w:val="right"/>
            </w:pPr>
            <w:r>
              <w:rPr>
                <w:sz w:val="20"/>
              </w:rPr>
              <w:t>3,610.00</w:t>
            </w:r>
          </w:p>
        </w:tc>
      </w:tr>
      <w:tr>
        <w:trPr>
          <w:cantSplit/>
        </w:trPr>
        <w:tc>
          <w:tcPr>
            <w:tcW w:type="dxa" w:w="3888"/>
            <w:vAlign w:val="center"/>
          </w:tcPr>
          <w:p>
            <w:pPr>
              <w:spacing w:before="80" w:after="80"/>
            </w:pPr>
            <w:r>
              <w:rPr>
                <w:sz w:val="20"/>
              </w:rPr>
              <w:t>Refreshments</w:t>
            </w:r>
          </w:p>
        </w:tc>
        <w:tc>
          <w:tcPr>
            <w:tcW w:type="dxa" w:w="4104"/>
            <w:vAlign w:val="center"/>
          </w:tcPr>
          <w:p>
            <w:pPr>
              <w:spacing w:before="80" w:after="80"/>
            </w:pPr>
            <w:r>
              <w:rPr>
                <w:sz w:val="20"/>
              </w:rPr>
              <w:t>95 × $12</w:t>
            </w:r>
          </w:p>
        </w:tc>
        <w:tc>
          <w:tcPr>
            <w:tcW w:type="dxa" w:w="2232"/>
            <w:vAlign w:val="center"/>
          </w:tcPr>
          <w:p>
            <w:pPr>
              <w:spacing w:before="80" w:after="80"/>
              <w:jc w:val="right"/>
            </w:pPr>
            <w:r>
              <w:rPr>
                <w:sz w:val="20"/>
              </w:rPr>
              <w:t>1,140.00</w:t>
            </w:r>
          </w:p>
        </w:tc>
      </w:tr>
      <w:tr>
        <w:trPr>
          <w:cantSplit/>
        </w:trPr>
        <w:tc>
          <w:tcPr>
            <w:tcW w:type="dxa" w:w="3888"/>
            <w:vAlign w:val="center"/>
          </w:tcPr>
          <w:p>
            <w:pPr>
              <w:spacing w:before="80" w:after="80"/>
            </w:pPr>
            <w:r>
              <w:rPr>
                <w:sz w:val="20"/>
              </w:rPr>
              <w:t>AV package</w:t>
            </w:r>
          </w:p>
        </w:tc>
        <w:tc>
          <w:tcPr>
            <w:tcW w:type="dxa" w:w="4104"/>
            <w:vAlign w:val="center"/>
          </w:tcPr>
          <w:p>
            <w:pPr>
              <w:spacing w:before="80" w:after="80"/>
            </w:pPr>
            <w:r>
              <w:rPr>
                <w:sz w:val="20"/>
              </w:rPr>
              <w:t>1 × $350</w:t>
            </w:r>
          </w:p>
        </w:tc>
        <w:tc>
          <w:tcPr>
            <w:tcW w:type="dxa" w:w="2232"/>
            <w:vAlign w:val="center"/>
          </w:tcPr>
          <w:p>
            <w:pPr>
              <w:spacing w:before="80" w:after="80"/>
              <w:jc w:val="right"/>
            </w:pPr>
            <w:r>
              <w:rPr>
                <w:sz w:val="20"/>
              </w:rPr>
              <w:t>350.00</w:t>
            </w:r>
          </w:p>
        </w:tc>
      </w:tr>
      <w:tr>
        <w:trPr>
          <w:cantSplit/>
        </w:trPr>
        <w:tc>
          <w:tcPr>
            <w:tcW w:type="dxa" w:w="3888"/>
            <w:vAlign w:val="center"/>
          </w:tcPr>
          <w:p>
            <w:pPr>
              <w:spacing w:before="80" w:after="80"/>
            </w:pPr>
            <w:r>
              <w:rPr>
                <w:sz w:val="20"/>
              </w:rPr>
              <w:t>Event staff</w:t>
            </w:r>
          </w:p>
        </w:tc>
        <w:tc>
          <w:tcPr>
            <w:tcW w:type="dxa" w:w="4104"/>
            <w:vAlign w:val="center"/>
          </w:tcPr>
          <w:p>
            <w:pPr>
              <w:spacing w:before="80" w:after="80"/>
            </w:pPr>
            <w:r>
              <w:rPr>
                <w:sz w:val="20"/>
              </w:rPr>
              <w:t>3 shifts × $180</w:t>
            </w:r>
          </w:p>
        </w:tc>
        <w:tc>
          <w:tcPr>
            <w:tcW w:type="dxa" w:w="2232"/>
            <w:vAlign w:val="center"/>
          </w:tcPr>
          <w:p>
            <w:pPr>
              <w:spacing w:before="80" w:after="80"/>
              <w:jc w:val="right"/>
            </w:pPr>
            <w:r>
              <w:rPr>
                <w:sz w:val="20"/>
              </w:rPr>
              <w:t>540.00</w:t>
            </w:r>
          </w:p>
        </w:tc>
      </w:tr>
      <w:tr>
        <w:trPr>
          <w:cantSplit/>
        </w:trPr>
        <w:tc>
          <w:tcPr>
            <w:tcW w:type="dxa" w:w="3888"/>
            <w:vAlign w:val="center"/>
          </w:tcPr>
          <w:p>
            <w:pPr>
              <w:spacing w:before="80" w:after="80"/>
            </w:pPr>
            <w:r>
              <w:rPr>
                <w:sz w:val="20"/>
              </w:rPr>
              <w:t>Subtotal</w:t>
            </w:r>
          </w:p>
        </w:tc>
        <w:tc>
          <w:tcPr>
            <w:tcW w:type="dxa" w:w="4104"/>
            <w:vAlign w:val="center"/>
          </w:tcPr>
          <w:p>
            <w:pPr>
              <w:spacing w:before="80" w:after="80"/>
            </w:pPr>
            <w:r>
              <w:rPr>
                <w:sz w:val="20"/>
              </w:rPr>
            </w:r>
          </w:p>
        </w:tc>
        <w:tc>
          <w:tcPr>
            <w:tcW w:type="dxa" w:w="2232"/>
            <w:vAlign w:val="center"/>
          </w:tcPr>
          <w:p>
            <w:pPr>
              <w:spacing w:before="80" w:after="80"/>
              <w:jc w:val="right"/>
            </w:pPr>
            <w:r>
              <w:rPr>
                <w:sz w:val="20"/>
              </w:rPr>
              <w:t>7,840.00</w:t>
            </w:r>
          </w:p>
        </w:tc>
      </w:tr>
      <w:tr>
        <w:trPr>
          <w:cantSplit/>
        </w:trPr>
        <w:tc>
          <w:tcPr>
            <w:tcW w:type="dxa" w:w="3888"/>
            <w:vAlign w:val="center"/>
          </w:tcPr>
          <w:p>
            <w:pPr>
              <w:spacing w:before="80" w:after="80"/>
            </w:pPr>
            <w:r>
              <w:rPr>
                <w:sz w:val="20"/>
              </w:rPr>
              <w:t>Service fee</w:t>
            </w:r>
          </w:p>
        </w:tc>
        <w:tc>
          <w:tcPr>
            <w:tcW w:type="dxa" w:w="4104"/>
            <w:vAlign w:val="center"/>
          </w:tcPr>
          <w:p>
            <w:pPr>
              <w:spacing w:before="80" w:after="80"/>
            </w:pPr>
            <w:r>
              <w:rPr>
                <w:sz w:val="20"/>
              </w:rPr>
              <w:t>18% of $4,750</w:t>
            </w:r>
          </w:p>
        </w:tc>
        <w:tc>
          <w:tcPr>
            <w:tcW w:type="dxa" w:w="2232"/>
            <w:vAlign w:val="center"/>
          </w:tcPr>
          <w:p>
            <w:pPr>
              <w:spacing w:before="80" w:after="80"/>
              <w:jc w:val="right"/>
            </w:pPr>
            <w:r>
              <w:rPr>
                <w:sz w:val="20"/>
              </w:rPr>
              <w:t>855.00</w:t>
            </w:r>
          </w:p>
        </w:tc>
      </w:tr>
      <w:tr>
        <w:trPr>
          <w:cantSplit/>
        </w:trPr>
        <w:tc>
          <w:tcPr>
            <w:tcW w:type="dxa" w:w="3888"/>
            <w:vAlign w:val="center"/>
          </w:tcPr>
          <w:p>
            <w:pPr>
              <w:spacing w:before="80" w:after="80"/>
            </w:pPr>
            <w:r>
              <w:rPr>
                <w:sz w:val="20"/>
              </w:rPr>
              <w:t>Illustrative tax</w:t>
            </w:r>
          </w:p>
        </w:tc>
        <w:tc>
          <w:tcPr>
            <w:tcW w:type="dxa" w:w="4104"/>
            <w:vAlign w:val="center"/>
          </w:tcPr>
          <w:p>
            <w:pPr>
              <w:spacing w:before="80" w:after="80"/>
            </w:pPr>
            <w:r>
              <w:rPr>
                <w:sz w:val="20"/>
              </w:rPr>
              <w:t>5% of $8,695</w:t>
            </w:r>
          </w:p>
        </w:tc>
        <w:tc>
          <w:tcPr>
            <w:tcW w:type="dxa" w:w="2232"/>
            <w:vAlign w:val="center"/>
          </w:tcPr>
          <w:p>
            <w:pPr>
              <w:spacing w:before="80" w:after="80"/>
              <w:jc w:val="right"/>
            </w:pPr>
            <w:r>
              <w:rPr>
                <w:sz w:val="20"/>
              </w:rPr>
              <w:t>434.75</w:t>
            </w:r>
          </w:p>
        </w:tc>
      </w:tr>
      <w:tr>
        <w:trPr>
          <w:cantSplit/>
        </w:trPr>
        <w:tc>
          <w:tcPr>
            <w:tcW w:type="dxa" w:w="3888"/>
            <w:vAlign w:val="center"/>
          </w:tcPr>
          <w:p>
            <w:pPr>
              <w:spacing w:before="80" w:after="80"/>
            </w:pPr>
            <w:r>
              <w:rPr>
                <w:sz w:val="20"/>
              </w:rPr>
              <w:t>Revised total</w:t>
            </w:r>
          </w:p>
        </w:tc>
        <w:tc>
          <w:tcPr>
            <w:tcW w:type="dxa" w:w="4104"/>
            <w:vAlign w:val="center"/>
          </w:tcPr>
          <w:p>
            <w:pPr>
              <w:spacing w:before="80" w:after="80"/>
            </w:pPr>
            <w:r>
              <w:rPr>
                <w:sz w:val="20"/>
              </w:rPr>
            </w:r>
          </w:p>
        </w:tc>
        <w:tc>
          <w:tcPr>
            <w:tcW w:type="dxa" w:w="2232"/>
            <w:vAlign w:val="center"/>
          </w:tcPr>
          <w:p>
            <w:pPr>
              <w:spacing w:before="80" w:after="80"/>
              <w:jc w:val="right"/>
            </w:pPr>
            <w:r>
              <w:rPr>
                <w:sz w:val="20"/>
              </w:rPr>
              <w:t>9,129.75</w:t>
            </w:r>
          </w:p>
        </w:tc>
      </w:tr>
      <w:tr>
        <w:trPr>
          <w:cantSplit/>
        </w:trPr>
        <w:tc>
          <w:tcPr>
            <w:tcW w:type="dxa" w:w="3888"/>
            <w:vAlign w:val="center"/>
          </w:tcPr>
          <w:p>
            <w:pPr>
              <w:spacing w:before="80" w:after="80"/>
            </w:pPr>
            <w:r>
              <w:rPr>
                <w:sz w:val="20"/>
              </w:rPr>
              <w:t>Revised deposit</w:t>
            </w:r>
          </w:p>
        </w:tc>
        <w:tc>
          <w:tcPr>
            <w:tcW w:type="dxa" w:w="4104"/>
            <w:vAlign w:val="center"/>
          </w:tcPr>
          <w:p>
            <w:pPr>
              <w:spacing w:before="80" w:after="80"/>
            </w:pPr>
            <w:r>
              <w:rPr>
                <w:sz w:val="20"/>
              </w:rPr>
              <w:t>30% of total</w:t>
            </w:r>
          </w:p>
        </w:tc>
        <w:tc>
          <w:tcPr>
            <w:tcW w:type="dxa" w:w="2232"/>
            <w:vAlign w:val="center"/>
          </w:tcPr>
          <w:p>
            <w:pPr>
              <w:spacing w:before="80" w:after="80"/>
              <w:jc w:val="right"/>
            </w:pPr>
            <w:r>
              <w:rPr>
                <w:sz w:val="20"/>
              </w:rPr>
              <w:t>2,738.93</w:t>
            </w:r>
          </w:p>
        </w:tc>
      </w:tr>
      <w:tr>
        <w:trPr>
          <w:cantSplit/>
        </w:trPr>
        <w:tc>
          <w:tcPr>
            <w:tcW w:type="dxa" w:w="3888"/>
            <w:vAlign w:val="center"/>
          </w:tcPr>
          <w:p>
            <w:pPr>
              <w:spacing w:before="80" w:after="80"/>
            </w:pPr>
            <w:r>
              <w:rPr>
                <w:sz w:val="20"/>
              </w:rPr>
              <w:t>Remaining balance</w:t>
            </w:r>
          </w:p>
        </w:tc>
        <w:tc>
          <w:tcPr>
            <w:tcW w:type="dxa" w:w="4104"/>
            <w:vAlign w:val="center"/>
          </w:tcPr>
          <w:p>
            <w:pPr>
              <w:spacing w:before="80" w:after="80"/>
            </w:pPr>
            <w:r>
              <w:rPr>
                <w:sz w:val="20"/>
              </w:rPr>
              <w:t>Total less deposit</w:t>
            </w:r>
          </w:p>
        </w:tc>
        <w:tc>
          <w:tcPr>
            <w:tcW w:type="dxa" w:w="2232"/>
            <w:vAlign w:val="center"/>
          </w:tcPr>
          <w:p>
            <w:pPr>
              <w:spacing w:before="80" w:after="80"/>
              <w:jc w:val="right"/>
            </w:pPr>
            <w:r>
              <w:rPr>
                <w:sz w:val="20"/>
              </w:rPr>
              <w:t>6,390.82</w:t>
            </w:r>
          </w:p>
        </w:tc>
      </w:tr>
    </w:tbl>
    <w:p>
      <w:r>
        <w:t>The revision is $1,118.25 above version 1 and $129.75 above the customer’s $9,000 cap. Do not issue this as an accepted change or charge another deposit without checking approval and any recorded payments.</w:t>
      </w:r>
    </w:p>
    <w:p>
      <w:pPr>
        <w:pStyle w:val="Heading1"/>
      </w:pPr>
      <w:r>
        <w:t>An alternative requiring customer approval</w:t>
      </w:r>
    </w:p>
    <w:p>
      <w:r>
        <w:t>A simpler refreshment option at $10 per guest reduces that line to $950. The subtotal becomes $7,650, service fee $820.80, tax $423.54 and total $8,894.34. This is $105.66 within the cap. The deposit would be $2,668.30 and remaining balance $6,226.04. The customer must approve the substitution; it is not applied silently.</w:t>
      </w:r>
    </w:p>
    <w:p>
      <w:pPr>
        <w:pStyle w:val="Heading1"/>
      </w:pPr>
      <w:r>
        <w:t>Complete reply and next action</w:t>
      </w:r>
    </w:p>
    <w:p>
      <w:r>
        <w:t>“The revised draft for 95 guests is CAD $9,129.75, including the illustrated service fee and tax. It keeps your lunch and AV, and adds the third staff shift required by our sample rule. With your approval, simpler refreshments would bring the total to $8,894.34. Please confirm your preferred option. Capacity, availability and the final menu still need confirmation before we issue the accepted revision.”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zerosecondoffers.com/templates/venue-proposal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ZERO SECOND OFFERS  /  FREE BUSINESS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before="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