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quotation example</w:t>
      </w:r>
    </w:p>
    <w:p>
      <w:r>
        <w:t>A fictional commercial IT-service job illustrates a complete original quote, a customer-requested revision and an alternative within budget. All prices and terms are invented for demonstration. This is not a historical Powerland project or a live service offer.</w:t>
      </w:r>
    </w:p>
    <w:p>
      <w:pPr>
        <w:pStyle w:val="Heading1"/>
      </w:pPr>
      <w:r>
        <w:t>Original quotation</w:t>
      </w:r>
    </w:p>
    <w:p>
      <w:r>
        <w:t>Supplier: Example IT Services  |  Customer: Example Company</w:t>
        <w:br/>
        <w:t>Quote SERVICE-01  |  Version 1  |  Issued September 20, 2026</w:t>
        <w:br/>
        <w:t>Valid until September 27, 2026  |  One office visit, date to be agreed</w:t>
      </w:r>
    </w:p>
    <w:p>
      <w:r>
        <w:t>Configure six customer-supplied, compatible workstations, review the network, provide a brief staff handover and a completion checklist. The customer provides access and authorized credentials. Hardware, licences, data recovery, new cabling and ongoing support are excluded. Normal business hours and one visit are assumed; scheduling remains unconfirmed.</w:t>
      </w:r>
    </w:p>
    <w:tbl>
      <w:tblPr>
        <w:tblW w:type="auto" w:w="0"/>
        <w:tblLayout w:type="fixed"/>
        <w:tblLook w:firstColumn="1" w:firstRow="1" w:lastColumn="0" w:lastRow="0" w:noHBand="0" w:noVBand="1" w:val="04A0"/>
        <w:tblBorders>
          <w:top w:val="single" w:sz="4" w:color="CBD3C7"/>
          <w:bottom w:val="single" w:sz="4" w:color="CBD3C7"/>
          <w:left w:val="single" w:sz="4" w:color="CBD3C7"/>
          <w:right w:val="single" w:sz="4" w:color="CBD3C7"/>
          <w:insideH w:val="single" w:sz="4" w:color="CBD3C7"/>
          <w:insideV w:val="single" w:sz="4" w:color="CBD3C7"/>
        </w:tblBorders>
      </w:tblPr>
      <w:tblGrid>
        <w:gridCol w:w="4320"/>
        <w:gridCol w:w="3744"/>
        <w:gridCol w:w="2160"/>
      </w:tblGrid>
      <w:tr>
        <w:trPr>
          <w:tblHeader/>
          <w:cantSplit/>
        </w:trPr>
        <w:tc>
          <w:tcPr>
            <w:tcW w:type="dxa" w:w="4320"/>
            <w:shd w:fill="E8EDE5"/>
          </w:tcPr>
          <w:p>
            <w:pPr>
              <w:spacing w:before="80" w:after="80"/>
            </w:pPr>
            <w:r>
              <w:rPr>
                <w:b/>
                <w:sz w:val="20"/>
              </w:rPr>
              <w:t>Service</w:t>
            </w:r>
          </w:p>
        </w:tc>
        <w:tc>
          <w:tcPr>
            <w:tcW w:type="dxa" w:w="3744"/>
            <w:shd w:fill="E8EDE5"/>
          </w:tcPr>
          <w:p>
            <w:pPr>
              <w:spacing w:before="80" w:after="80"/>
            </w:pPr>
            <w:r>
              <w:rPr>
                <w:b/>
                <w:sz w:val="20"/>
              </w:rPr>
              <w:t>Quantity and unit rate</w:t>
            </w:r>
          </w:p>
        </w:tc>
        <w:tc>
          <w:tcPr>
            <w:tcW w:type="dxa" w:w="2160"/>
            <w:shd w:fill="E8EDE5"/>
          </w:tcPr>
          <w:p>
            <w:pPr>
              <w:spacing w:before="80" w:after="80"/>
              <w:jc w:val="right"/>
            </w:pPr>
            <w:r>
              <w:rPr>
                <w:b/>
                <w:sz w:val="20"/>
              </w:rPr>
              <w:t>CAD amount</w:t>
            </w:r>
          </w:p>
        </w:tc>
      </w:tr>
      <w:tr>
        <w:trPr>
          <w:cantSplit/>
        </w:trPr>
        <w:tc>
          <w:tcPr>
            <w:tcW w:type="dxa" w:w="4320"/>
          </w:tcPr>
          <w:p>
            <w:pPr>
              <w:spacing w:before="80" w:after="80"/>
            </w:pPr>
            <w:r>
              <w:rPr>
                <w:sz w:val="20"/>
              </w:rPr>
              <w:t>Workstation setup and handover</w:t>
            </w:r>
          </w:p>
        </w:tc>
        <w:tc>
          <w:tcPr>
            <w:tcW w:type="dxa" w:w="3744"/>
          </w:tcPr>
          <w:p>
            <w:pPr>
              <w:spacing w:before="80" w:after="80"/>
            </w:pPr>
            <w:r>
              <w:rPr>
                <w:sz w:val="20"/>
              </w:rPr>
              <w:t>6 devices × $95</w:t>
            </w:r>
          </w:p>
        </w:tc>
        <w:tc>
          <w:tcPr>
            <w:tcW w:type="dxa" w:w="2160"/>
          </w:tcPr>
          <w:p>
            <w:pPr>
              <w:spacing w:before="80" w:after="80"/>
              <w:jc w:val="right"/>
            </w:pPr>
            <w:r>
              <w:rPr>
                <w:sz w:val="20"/>
              </w:rPr>
              <w:t>570.00</w:t>
            </w:r>
          </w:p>
        </w:tc>
      </w:tr>
      <w:tr>
        <w:trPr>
          <w:cantSplit/>
        </w:trPr>
        <w:tc>
          <w:tcPr>
            <w:tcW w:type="dxa" w:w="4320"/>
          </w:tcPr>
          <w:p>
            <w:pPr>
              <w:spacing w:before="80" w:after="80"/>
            </w:pPr>
            <w:r>
              <w:rPr>
                <w:sz w:val="20"/>
              </w:rPr>
              <w:t>Network review</w:t>
            </w:r>
          </w:p>
        </w:tc>
        <w:tc>
          <w:tcPr>
            <w:tcW w:type="dxa" w:w="3744"/>
          </w:tcPr>
          <w:p>
            <w:pPr>
              <w:spacing w:before="80" w:after="80"/>
            </w:pPr>
            <w:r>
              <w:rPr>
                <w:sz w:val="20"/>
              </w:rPr>
              <w:t>1 project × $240</w:t>
            </w:r>
          </w:p>
        </w:tc>
        <w:tc>
          <w:tcPr>
            <w:tcW w:type="dxa" w:w="2160"/>
          </w:tcPr>
          <w:p>
            <w:pPr>
              <w:spacing w:before="80" w:after="80"/>
              <w:jc w:val="right"/>
            </w:pPr>
            <w:r>
              <w:rPr>
                <w:sz w:val="20"/>
              </w:rPr>
              <w:t>240.00</w:t>
            </w:r>
          </w:p>
        </w:tc>
      </w:tr>
      <w:tr>
        <w:trPr>
          <w:cantSplit/>
        </w:trPr>
        <w:tc>
          <w:tcPr>
            <w:tcW w:type="dxa" w:w="4320"/>
          </w:tcPr>
          <w:p>
            <w:pPr>
              <w:spacing w:before="80" w:after="80"/>
            </w:pPr>
            <w:r>
              <w:rPr>
                <w:sz w:val="20"/>
              </w:rPr>
              <w:t>On-site visit</w:t>
            </w:r>
          </w:p>
        </w:tc>
        <w:tc>
          <w:tcPr>
            <w:tcW w:type="dxa" w:w="3744"/>
          </w:tcPr>
          <w:p>
            <w:pPr>
              <w:spacing w:before="80" w:after="80"/>
            </w:pPr>
            <w:r>
              <w:rPr>
                <w:sz w:val="20"/>
              </w:rPr>
              <w:t>1 visit × $85</w:t>
            </w:r>
          </w:p>
        </w:tc>
        <w:tc>
          <w:tcPr>
            <w:tcW w:type="dxa" w:w="2160"/>
          </w:tcPr>
          <w:p>
            <w:pPr>
              <w:spacing w:before="80" w:after="80"/>
              <w:jc w:val="right"/>
            </w:pPr>
            <w:r>
              <w:rPr>
                <w:sz w:val="20"/>
              </w:rPr>
              <w:t>85.00</w:t>
            </w:r>
          </w:p>
        </w:tc>
      </w:tr>
      <w:tr>
        <w:trPr>
          <w:cantSplit/>
        </w:trPr>
        <w:tc>
          <w:tcPr>
            <w:tcW w:type="dxa" w:w="4320"/>
          </w:tcPr>
          <w:p>
            <w:pPr>
              <w:spacing w:before="80" w:after="80"/>
            </w:pPr>
            <w:r>
              <w:rPr>
                <w:sz w:val="20"/>
              </w:rPr>
              <w:t>Subtotal</w:t>
            </w:r>
          </w:p>
        </w:tc>
        <w:tc>
          <w:tcPr>
            <w:tcW w:type="dxa" w:w="3744"/>
          </w:tcPr>
          <w:p>
            <w:pPr>
              <w:spacing w:before="80" w:after="80"/>
            </w:pPr>
            <w:r>
              <w:rPr>
                <w:sz w:val="20"/>
              </w:rPr>
            </w:r>
          </w:p>
        </w:tc>
        <w:tc>
          <w:tcPr>
            <w:tcW w:type="dxa" w:w="2160"/>
          </w:tcPr>
          <w:p>
            <w:pPr>
              <w:spacing w:before="80" w:after="80"/>
              <w:jc w:val="right"/>
            </w:pPr>
            <w:r>
              <w:rPr>
                <w:sz w:val="20"/>
              </w:rPr>
              <w:t>895.00</w:t>
            </w:r>
          </w:p>
        </w:tc>
      </w:tr>
      <w:tr>
        <w:trPr>
          <w:cantSplit/>
        </w:trPr>
        <w:tc>
          <w:tcPr>
            <w:tcW w:type="dxa" w:w="4320"/>
          </w:tcPr>
          <w:p>
            <w:pPr>
              <w:spacing w:before="80" w:after="80"/>
            </w:pPr>
            <w:r>
              <w:rPr>
                <w:sz w:val="20"/>
              </w:rPr>
              <w:t>Illustrative tax</w:t>
            </w:r>
          </w:p>
        </w:tc>
        <w:tc>
          <w:tcPr>
            <w:tcW w:type="dxa" w:w="3744"/>
          </w:tcPr>
          <w:p>
            <w:pPr>
              <w:spacing w:before="80" w:after="80"/>
            </w:pPr>
            <w:r>
              <w:rPr>
                <w:sz w:val="20"/>
              </w:rPr>
              <w:t>5% of all lines</w:t>
            </w:r>
          </w:p>
        </w:tc>
        <w:tc>
          <w:tcPr>
            <w:tcW w:type="dxa" w:w="2160"/>
          </w:tcPr>
          <w:p>
            <w:pPr>
              <w:spacing w:before="80" w:after="80"/>
              <w:jc w:val="right"/>
            </w:pPr>
            <w:r>
              <w:rPr>
                <w:sz w:val="20"/>
              </w:rPr>
              <w:t>44.75</w:t>
            </w:r>
          </w:p>
        </w:tc>
      </w:tr>
      <w:tr>
        <w:trPr>
          <w:cantSplit/>
        </w:trPr>
        <w:tc>
          <w:tcPr>
            <w:tcW w:type="dxa" w:w="4320"/>
          </w:tcPr>
          <w:p>
            <w:pPr>
              <w:spacing w:before="80" w:after="80"/>
            </w:pPr>
            <w:r>
              <w:rPr>
                <w:sz w:val="20"/>
              </w:rPr>
              <w:t>Original total</w:t>
            </w:r>
          </w:p>
        </w:tc>
        <w:tc>
          <w:tcPr>
            <w:tcW w:type="dxa" w:w="3744"/>
          </w:tcPr>
          <w:p>
            <w:pPr>
              <w:spacing w:before="80" w:after="80"/>
            </w:pPr>
            <w:r>
              <w:rPr>
                <w:sz w:val="20"/>
              </w:rPr>
            </w:r>
          </w:p>
        </w:tc>
        <w:tc>
          <w:tcPr>
            <w:tcW w:type="dxa" w:w="2160"/>
          </w:tcPr>
          <w:p>
            <w:pPr>
              <w:spacing w:before="80" w:after="80"/>
              <w:jc w:val="right"/>
            </w:pPr>
            <w:r>
              <w:rPr>
                <w:sz w:val="20"/>
              </w:rPr>
              <w:t>939.75</w:t>
            </w:r>
          </w:p>
        </w:tc>
      </w:tr>
      <w:tr>
        <w:trPr>
          <w:cantSplit/>
        </w:trPr>
        <w:tc>
          <w:tcPr>
            <w:tcW w:type="dxa" w:w="4320"/>
          </w:tcPr>
          <w:p>
            <w:pPr>
              <w:spacing w:before="80" w:after="80"/>
            </w:pPr>
            <w:r>
              <w:rPr>
                <w:sz w:val="20"/>
              </w:rPr>
              <w:t>Deposit</w:t>
            </w:r>
          </w:p>
        </w:tc>
        <w:tc>
          <w:tcPr>
            <w:tcW w:type="dxa" w:w="3744"/>
          </w:tcPr>
          <w:p>
            <w:pPr>
              <w:spacing w:before="80" w:after="80"/>
            </w:pPr>
            <w:r>
              <w:rPr>
                <w:sz w:val="20"/>
              </w:rPr>
              <w:t>25% of total</w:t>
            </w:r>
          </w:p>
        </w:tc>
        <w:tc>
          <w:tcPr>
            <w:tcW w:type="dxa" w:w="2160"/>
          </w:tcPr>
          <w:p>
            <w:pPr>
              <w:spacing w:before="80" w:after="80"/>
              <w:jc w:val="right"/>
            </w:pPr>
            <w:r>
              <w:rPr>
                <w:sz w:val="20"/>
              </w:rPr>
              <w:t>234.94</w:t>
            </w:r>
          </w:p>
        </w:tc>
      </w:tr>
      <w:tr>
        <w:trPr>
          <w:cantSplit/>
        </w:trPr>
        <w:tc>
          <w:tcPr>
            <w:tcW w:type="dxa" w:w="4320"/>
          </w:tcPr>
          <w:p>
            <w:pPr>
              <w:spacing w:before="80" w:after="80"/>
            </w:pPr>
            <w:r>
              <w:rPr>
                <w:sz w:val="20"/>
              </w:rPr>
              <w:t>Remaining balance</w:t>
            </w:r>
          </w:p>
        </w:tc>
        <w:tc>
          <w:tcPr>
            <w:tcW w:type="dxa" w:w="3744"/>
          </w:tcPr>
          <w:p>
            <w:pPr>
              <w:spacing w:before="80" w:after="80"/>
            </w:pPr>
            <w:r>
              <w:rPr>
                <w:sz w:val="20"/>
              </w:rPr>
              <w:t>Total less deposit</w:t>
            </w:r>
          </w:p>
        </w:tc>
        <w:tc>
          <w:tcPr>
            <w:tcW w:type="dxa" w:w="2160"/>
          </w:tcPr>
          <w:p>
            <w:pPr>
              <w:spacing w:before="80" w:after="80"/>
              <w:jc w:val="right"/>
            </w:pPr>
            <w:r>
              <w:rPr>
                <w:sz w:val="20"/>
              </w:rPr>
              <w:t>704.81</w:t>
            </w:r>
          </w:p>
        </w:tc>
      </w:tr>
    </w:tbl>
    <w:p>
      <w:pPr>
        <w:pStyle w:val="Heading1"/>
      </w:pPr>
      <w:r>
        <w:t>Sample approval and payment terms</w:t>
      </w:r>
    </w:p>
    <w:p>
      <w:r>
        <w:t>Written scope approval and a 25% deposit are required before the appointment is confirmed. The remaining balance is due seven days after completion. This illustration assumes no prior payments. The supplier must confirm device compatibility, access and enough time for the work. Cancellation and change terms must be supplied in the final service agreement.</w:t>
      </w:r>
    </w:p>
    <w:p>
      <w:pPr>
        <w:pStyle w:val="Heading1"/>
      </w:pPr>
      <w:r>
        <w:t>Customer change request</w:t>
      </w:r>
    </w:p>
    <w:p>
      <w:r>
        <w:t>“Make that ten workstations, and can you do it after we close? We need to stay under $1,400 including tax.”</w:t>
      </w:r>
    </w:p>
    <w:p>
      <w:r>
        <w:t>The sample keeps the $95 workstation rate and adds $160 for after-hours work. Confirm capacity for one visit before final approval.</w:t>
      </w:r>
    </w:p>
    <w:p>
      <w:pPr>
        <w:pStyle w:val="Heading1"/>
        <w:pageBreakBefore/>
      </w:pPr>
      <w:r>
        <w:t>Revised quotation pending approval</w:t>
      </w:r>
    </w:p>
    <w:tbl>
      <w:tblPr>
        <w:tblW w:type="auto" w:w="0"/>
        <w:tblLayout w:type="fixed"/>
        <w:tblLook w:firstColumn="1" w:firstRow="1" w:lastColumn="0" w:lastRow="0" w:noHBand="0" w:noVBand="1" w:val="04A0"/>
        <w:tblBorders>
          <w:top w:val="single" w:sz="4" w:color="CBD3C7"/>
          <w:bottom w:val="single" w:sz="4" w:color="CBD3C7"/>
          <w:left w:val="single" w:sz="4" w:color="CBD3C7"/>
          <w:right w:val="single" w:sz="4" w:color="CBD3C7"/>
          <w:insideH w:val="single" w:sz="4" w:color="CBD3C7"/>
          <w:insideV w:val="single" w:sz="4" w:color="CBD3C7"/>
        </w:tblBorders>
      </w:tblPr>
      <w:tblGrid>
        <w:gridCol w:w="4320"/>
        <w:gridCol w:w="3744"/>
        <w:gridCol w:w="2160"/>
      </w:tblGrid>
      <w:tr>
        <w:trPr>
          <w:tblHeader/>
          <w:cantSplit/>
        </w:trPr>
        <w:tc>
          <w:tcPr>
            <w:tcW w:type="dxa" w:w="4320"/>
            <w:shd w:fill="E8EDE5"/>
          </w:tcPr>
          <w:p>
            <w:pPr>
              <w:spacing w:before="80" w:after="80"/>
            </w:pPr>
            <w:r>
              <w:rPr>
                <w:b/>
                <w:sz w:val="20"/>
              </w:rPr>
              <w:t>Service</w:t>
            </w:r>
          </w:p>
        </w:tc>
        <w:tc>
          <w:tcPr>
            <w:tcW w:type="dxa" w:w="3744"/>
            <w:shd w:fill="E8EDE5"/>
          </w:tcPr>
          <w:p>
            <w:pPr>
              <w:spacing w:before="80" w:after="80"/>
            </w:pPr>
            <w:r>
              <w:rPr>
                <w:b/>
                <w:sz w:val="20"/>
              </w:rPr>
              <w:t>Revised quantity and rate</w:t>
            </w:r>
          </w:p>
        </w:tc>
        <w:tc>
          <w:tcPr>
            <w:tcW w:type="dxa" w:w="2160"/>
            <w:shd w:fill="E8EDE5"/>
          </w:tcPr>
          <w:p>
            <w:pPr>
              <w:spacing w:before="80" w:after="80"/>
              <w:jc w:val="right"/>
            </w:pPr>
            <w:r>
              <w:rPr>
                <w:b/>
                <w:sz w:val="20"/>
              </w:rPr>
              <w:t>CAD amount</w:t>
            </w:r>
          </w:p>
        </w:tc>
      </w:tr>
      <w:tr>
        <w:trPr>
          <w:cantSplit/>
        </w:trPr>
        <w:tc>
          <w:tcPr>
            <w:tcW w:type="dxa" w:w="4320"/>
          </w:tcPr>
          <w:p>
            <w:pPr>
              <w:spacing w:before="80" w:after="80"/>
            </w:pPr>
            <w:r>
              <w:rPr>
                <w:sz w:val="20"/>
              </w:rPr>
              <w:t>Workstation setup and handover</w:t>
            </w:r>
          </w:p>
        </w:tc>
        <w:tc>
          <w:tcPr>
            <w:tcW w:type="dxa" w:w="3744"/>
          </w:tcPr>
          <w:p>
            <w:pPr>
              <w:spacing w:before="80" w:after="80"/>
            </w:pPr>
            <w:r>
              <w:rPr>
                <w:sz w:val="20"/>
              </w:rPr>
              <w:t>10 devices × $95</w:t>
            </w:r>
          </w:p>
        </w:tc>
        <w:tc>
          <w:tcPr>
            <w:tcW w:type="dxa" w:w="2160"/>
          </w:tcPr>
          <w:p>
            <w:pPr>
              <w:spacing w:before="80" w:after="80"/>
              <w:jc w:val="right"/>
            </w:pPr>
            <w:r>
              <w:rPr>
                <w:sz w:val="20"/>
              </w:rPr>
              <w:t>950.00</w:t>
            </w:r>
          </w:p>
        </w:tc>
      </w:tr>
      <w:tr>
        <w:trPr>
          <w:cantSplit/>
        </w:trPr>
        <w:tc>
          <w:tcPr>
            <w:tcW w:type="dxa" w:w="4320"/>
          </w:tcPr>
          <w:p>
            <w:pPr>
              <w:spacing w:before="80" w:after="80"/>
            </w:pPr>
            <w:r>
              <w:rPr>
                <w:sz w:val="20"/>
              </w:rPr>
              <w:t>Network review</w:t>
            </w:r>
          </w:p>
        </w:tc>
        <w:tc>
          <w:tcPr>
            <w:tcW w:type="dxa" w:w="3744"/>
          </w:tcPr>
          <w:p>
            <w:pPr>
              <w:spacing w:before="80" w:after="80"/>
            </w:pPr>
            <w:r>
              <w:rPr>
                <w:sz w:val="20"/>
              </w:rPr>
              <w:t>1 project × $240</w:t>
            </w:r>
          </w:p>
        </w:tc>
        <w:tc>
          <w:tcPr>
            <w:tcW w:type="dxa" w:w="2160"/>
          </w:tcPr>
          <w:p>
            <w:pPr>
              <w:spacing w:before="80" w:after="80"/>
              <w:jc w:val="right"/>
            </w:pPr>
            <w:r>
              <w:rPr>
                <w:sz w:val="20"/>
              </w:rPr>
              <w:t>240.00</w:t>
            </w:r>
          </w:p>
        </w:tc>
      </w:tr>
      <w:tr>
        <w:trPr>
          <w:cantSplit/>
        </w:trPr>
        <w:tc>
          <w:tcPr>
            <w:tcW w:type="dxa" w:w="4320"/>
          </w:tcPr>
          <w:p>
            <w:pPr>
              <w:spacing w:before="80" w:after="80"/>
            </w:pPr>
            <w:r>
              <w:rPr>
                <w:sz w:val="20"/>
              </w:rPr>
              <w:t>On-site visit</w:t>
            </w:r>
          </w:p>
        </w:tc>
        <w:tc>
          <w:tcPr>
            <w:tcW w:type="dxa" w:w="3744"/>
          </w:tcPr>
          <w:p>
            <w:pPr>
              <w:spacing w:before="80" w:after="80"/>
            </w:pPr>
            <w:r>
              <w:rPr>
                <w:sz w:val="20"/>
              </w:rPr>
              <w:t>1 visit × $85</w:t>
            </w:r>
          </w:p>
        </w:tc>
        <w:tc>
          <w:tcPr>
            <w:tcW w:type="dxa" w:w="2160"/>
          </w:tcPr>
          <w:p>
            <w:pPr>
              <w:spacing w:before="80" w:after="80"/>
              <w:jc w:val="right"/>
            </w:pPr>
            <w:r>
              <w:rPr>
                <w:sz w:val="20"/>
              </w:rPr>
              <w:t>85.00</w:t>
            </w:r>
          </w:p>
        </w:tc>
      </w:tr>
      <w:tr>
        <w:trPr>
          <w:cantSplit/>
        </w:trPr>
        <w:tc>
          <w:tcPr>
            <w:tcW w:type="dxa" w:w="4320"/>
          </w:tcPr>
          <w:p>
            <w:pPr>
              <w:spacing w:before="80" w:after="80"/>
            </w:pPr>
            <w:r>
              <w:rPr>
                <w:sz w:val="20"/>
              </w:rPr>
              <w:t>After-hours charge</w:t>
            </w:r>
          </w:p>
        </w:tc>
        <w:tc>
          <w:tcPr>
            <w:tcW w:type="dxa" w:w="3744"/>
          </w:tcPr>
          <w:p>
            <w:pPr>
              <w:spacing w:before="80" w:after="80"/>
            </w:pPr>
            <w:r>
              <w:rPr>
                <w:sz w:val="20"/>
              </w:rPr>
              <w:t>1 visit × $160</w:t>
            </w:r>
          </w:p>
        </w:tc>
        <w:tc>
          <w:tcPr>
            <w:tcW w:type="dxa" w:w="2160"/>
          </w:tcPr>
          <w:p>
            <w:pPr>
              <w:spacing w:before="80" w:after="80"/>
              <w:jc w:val="right"/>
            </w:pPr>
            <w:r>
              <w:rPr>
                <w:sz w:val="20"/>
              </w:rPr>
              <w:t>160.00</w:t>
            </w:r>
          </w:p>
        </w:tc>
      </w:tr>
      <w:tr>
        <w:trPr>
          <w:cantSplit/>
        </w:trPr>
        <w:tc>
          <w:tcPr>
            <w:tcW w:type="dxa" w:w="4320"/>
          </w:tcPr>
          <w:p>
            <w:pPr>
              <w:spacing w:before="80" w:after="80"/>
            </w:pPr>
            <w:r>
              <w:rPr>
                <w:sz w:val="20"/>
              </w:rPr>
              <w:t>Subtotal</w:t>
            </w:r>
          </w:p>
        </w:tc>
        <w:tc>
          <w:tcPr>
            <w:tcW w:type="dxa" w:w="3744"/>
          </w:tcPr>
          <w:p>
            <w:pPr>
              <w:spacing w:before="80" w:after="80"/>
            </w:pPr>
            <w:r>
              <w:rPr>
                <w:sz w:val="20"/>
              </w:rPr>
            </w:r>
          </w:p>
        </w:tc>
        <w:tc>
          <w:tcPr>
            <w:tcW w:type="dxa" w:w="2160"/>
          </w:tcPr>
          <w:p>
            <w:pPr>
              <w:spacing w:before="80" w:after="80"/>
              <w:jc w:val="right"/>
            </w:pPr>
            <w:r>
              <w:rPr>
                <w:sz w:val="20"/>
              </w:rPr>
              <w:t>1,435.00</w:t>
            </w:r>
          </w:p>
        </w:tc>
      </w:tr>
      <w:tr>
        <w:trPr>
          <w:cantSplit/>
        </w:trPr>
        <w:tc>
          <w:tcPr>
            <w:tcW w:type="dxa" w:w="4320"/>
          </w:tcPr>
          <w:p>
            <w:pPr>
              <w:spacing w:before="80" w:after="80"/>
            </w:pPr>
            <w:r>
              <w:rPr>
                <w:sz w:val="20"/>
              </w:rPr>
              <w:t>Illustrative tax</w:t>
            </w:r>
          </w:p>
        </w:tc>
        <w:tc>
          <w:tcPr>
            <w:tcW w:type="dxa" w:w="3744"/>
          </w:tcPr>
          <w:p>
            <w:pPr>
              <w:spacing w:before="80" w:after="80"/>
            </w:pPr>
            <w:r>
              <w:rPr>
                <w:sz w:val="20"/>
              </w:rPr>
              <w:t>5% of all lines</w:t>
            </w:r>
          </w:p>
        </w:tc>
        <w:tc>
          <w:tcPr>
            <w:tcW w:type="dxa" w:w="2160"/>
          </w:tcPr>
          <w:p>
            <w:pPr>
              <w:spacing w:before="80" w:after="80"/>
              <w:jc w:val="right"/>
            </w:pPr>
            <w:r>
              <w:rPr>
                <w:sz w:val="20"/>
              </w:rPr>
              <w:t>71.75</w:t>
            </w:r>
          </w:p>
        </w:tc>
      </w:tr>
      <w:tr>
        <w:trPr>
          <w:cantSplit/>
        </w:trPr>
        <w:tc>
          <w:tcPr>
            <w:tcW w:type="dxa" w:w="4320"/>
          </w:tcPr>
          <w:p>
            <w:pPr>
              <w:spacing w:before="80" w:after="80"/>
            </w:pPr>
            <w:r>
              <w:rPr>
                <w:sz w:val="20"/>
              </w:rPr>
              <w:t>Revised total</w:t>
            </w:r>
          </w:p>
        </w:tc>
        <w:tc>
          <w:tcPr>
            <w:tcW w:type="dxa" w:w="3744"/>
          </w:tcPr>
          <w:p>
            <w:pPr>
              <w:spacing w:before="80" w:after="80"/>
            </w:pPr>
            <w:r>
              <w:rPr>
                <w:sz w:val="20"/>
              </w:rPr>
            </w:r>
          </w:p>
        </w:tc>
        <w:tc>
          <w:tcPr>
            <w:tcW w:type="dxa" w:w="2160"/>
          </w:tcPr>
          <w:p>
            <w:pPr>
              <w:spacing w:before="80" w:after="80"/>
              <w:jc w:val="right"/>
            </w:pPr>
            <w:r>
              <w:rPr>
                <w:sz w:val="20"/>
              </w:rPr>
              <w:t>1,506.75</w:t>
            </w:r>
          </w:p>
        </w:tc>
      </w:tr>
      <w:tr>
        <w:trPr>
          <w:cantSplit/>
        </w:trPr>
        <w:tc>
          <w:tcPr>
            <w:tcW w:type="dxa" w:w="4320"/>
          </w:tcPr>
          <w:p>
            <w:pPr>
              <w:spacing w:before="80" w:after="80"/>
            </w:pPr>
            <w:r>
              <w:rPr>
                <w:sz w:val="20"/>
              </w:rPr>
              <w:t>Revised deposit</w:t>
            </w:r>
          </w:p>
        </w:tc>
        <w:tc>
          <w:tcPr>
            <w:tcW w:type="dxa" w:w="3744"/>
          </w:tcPr>
          <w:p>
            <w:pPr>
              <w:spacing w:before="80" w:after="80"/>
            </w:pPr>
            <w:r>
              <w:rPr>
                <w:sz w:val="20"/>
              </w:rPr>
              <w:t>25% of total</w:t>
            </w:r>
          </w:p>
        </w:tc>
        <w:tc>
          <w:tcPr>
            <w:tcW w:type="dxa" w:w="2160"/>
          </w:tcPr>
          <w:p>
            <w:pPr>
              <w:spacing w:before="80" w:after="80"/>
              <w:jc w:val="right"/>
            </w:pPr>
            <w:r>
              <w:rPr>
                <w:sz w:val="20"/>
              </w:rPr>
              <w:t>376.69</w:t>
            </w:r>
          </w:p>
        </w:tc>
      </w:tr>
      <w:tr>
        <w:trPr>
          <w:cantSplit/>
        </w:trPr>
        <w:tc>
          <w:tcPr>
            <w:tcW w:type="dxa" w:w="4320"/>
          </w:tcPr>
          <w:p>
            <w:pPr>
              <w:spacing w:before="80" w:after="80"/>
            </w:pPr>
            <w:r>
              <w:rPr>
                <w:sz w:val="20"/>
              </w:rPr>
              <w:t>Remaining balance</w:t>
            </w:r>
          </w:p>
        </w:tc>
        <w:tc>
          <w:tcPr>
            <w:tcW w:type="dxa" w:w="3744"/>
          </w:tcPr>
          <w:p>
            <w:pPr>
              <w:spacing w:before="80" w:after="80"/>
            </w:pPr>
            <w:r>
              <w:rPr>
                <w:sz w:val="20"/>
              </w:rPr>
              <w:t>Total less deposit</w:t>
            </w:r>
          </w:p>
        </w:tc>
        <w:tc>
          <w:tcPr>
            <w:tcW w:type="dxa" w:w="2160"/>
          </w:tcPr>
          <w:p>
            <w:pPr>
              <w:spacing w:before="80" w:after="80"/>
              <w:jc w:val="right"/>
            </w:pPr>
            <w:r>
              <w:rPr>
                <w:sz w:val="20"/>
              </w:rPr>
              <w:t>1,130.06</w:t>
            </w:r>
          </w:p>
        </w:tc>
      </w:tr>
    </w:tbl>
    <w:p>
      <w:r>
        <w:t>Version 2 increases the total by CAD $567.00 and exceeds the $1,400 budget by $106.75. No appointment or payment is confirmed by this draft. Reconcile any recorded payments before requesting a revised deposit.</w:t>
      </w:r>
    </w:p>
    <w:p>
      <w:pPr>
        <w:pStyle w:val="Heading1"/>
      </w:pPr>
      <w:r>
        <w:t>An alternative within budget</w:t>
      </w:r>
    </w:p>
    <w:p>
      <w:r>
        <w:t>If the customer approves normal business hours, remove the $160 after-hours charge. The same listed scope then has a subtotal of $1,275, illustrative tax of $63.75 and total of $1,338.75. That leaves $61.25 below the cap. The deposit would be $334.69 and the remaining balance $1,004.06. Confirm capacity for a single visit; do not apply the timing change silently.</w:t>
      </w:r>
    </w:p>
    <w:p>
      <w:pPr>
        <w:pStyle w:val="Heading1"/>
      </w:pPr>
      <w:r>
        <w:t>Complete reply and next action</w:t>
      </w:r>
    </w:p>
    <w:p>
      <w:r>
        <w:t>“Thanks for confirming ten workstations. With the network review, one site visit and the after-hours charge, the revised draft is CAD $1,506.75 including the illustrated tax. That is $106.75 over your cap. If normal business hours work for you, the same listed scope would be $1,338.75. Please confirm which timing option you prefer, the device details and who can provide access. We will confirm that the work fits into one visit and agree the date before you accept the final revision.”</w:t>
      </w:r>
    </w:p>
    <w:p>
      <w:r>
        <w:t>Keep version 1 for reference. Record the customer’s choice, confirm access and capacity, and issue the accepted version with the matching payment schedule. The quotation and reply must describe the same work and price.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zerosecondoffers.com/templates/service-quotation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ZERO SECOND OFFERS  /  FREE BUSINESS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6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